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/>
          <w:b/>
          <w:sz w:val="36"/>
          <w:szCs w:val="32"/>
        </w:rPr>
      </w:pPr>
      <w:r>
        <w:rPr>
          <w:rFonts w:hint="eastAsia" w:ascii="黑体" w:hAnsi="黑体" w:eastAsia="黑体"/>
          <w:b/>
          <w:sz w:val="36"/>
          <w:szCs w:val="32"/>
        </w:rPr>
        <w:t>东北师范大学研究生管理系统毕业申请使用说明</w:t>
      </w:r>
    </w:p>
    <w:p/>
    <w:p/>
    <w:tbl>
      <w:tblPr>
        <w:tblStyle w:val="7"/>
        <w:tblW w:w="10542" w:type="dxa"/>
        <w:jc w:val="center"/>
        <w:tblInd w:w="-885" w:type="dxa"/>
        <w:tbl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single" w:color="FFFFFF" w:themeColor="background1" w:sz="4" w:space="0"/>
          <w:insideV w:val="single" w:color="FFFFFF" w:themeColor="background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942"/>
        <w:gridCol w:w="4600"/>
      </w:tblGrid>
      <w:tr>
        <w:tblPrEx>
          <w:tblBorders>
            <w:top w:val="single" w:color="FFFFFF" w:themeColor="background1" w:sz="4" w:space="0"/>
            <w:left w:val="single" w:color="FFFFFF" w:themeColor="background1" w:sz="4" w:space="0"/>
            <w:bottom w:val="single" w:color="FFFFFF" w:themeColor="background1" w:sz="4" w:space="0"/>
            <w:right w:val="single" w:color="FFFFFF" w:themeColor="background1" w:sz="4" w:space="0"/>
            <w:insideH w:val="single" w:color="FFFFFF" w:themeColor="background1" w:sz="4" w:space="0"/>
            <w:insideV w:val="single" w:color="FFFFFF" w:themeColor="background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" w:hRule="atLeast"/>
          <w:jc w:val="center"/>
        </w:trPr>
        <w:tc>
          <w:tcPr>
            <w:tcW w:w="5942" w:type="dxa"/>
          </w:tcPr>
          <w:p>
            <w:r>
              <w:drawing>
                <wp:inline distT="0" distB="0" distL="0" distR="0">
                  <wp:extent cx="3609340" cy="3721100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8673" cy="37302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/>
          <w:p/>
          <w:p/>
          <w:p/>
          <w:p/>
          <w:p/>
        </w:tc>
        <w:tc>
          <w:tcPr>
            <w:tcW w:w="4600" w:type="dxa"/>
          </w:tcPr>
          <w:p>
            <w:pPr>
              <w:spacing w:line="560" w:lineRule="exact"/>
              <w:jc w:val="left"/>
              <w:rPr>
                <w:rFonts w:ascii="华文楷体" w:hAnsi="华文楷体" w:eastAsia="华文楷体"/>
                <w:sz w:val="28"/>
                <w:szCs w:val="28"/>
              </w:rPr>
            </w:pPr>
            <w:r>
              <w:rPr>
                <w:rFonts w:hint="eastAsia" w:ascii="华文楷体" w:hAnsi="华文楷体" w:eastAsia="华文楷体"/>
                <w:sz w:val="28"/>
                <w:szCs w:val="28"/>
              </w:rPr>
              <w:t>1、登陆研究生管理系统</w:t>
            </w:r>
          </w:p>
          <w:p>
            <w:pPr>
              <w:spacing w:line="560" w:lineRule="exact"/>
              <w:jc w:val="left"/>
              <w:rPr>
                <w:rFonts w:ascii="华文楷体" w:hAnsi="华文楷体" w:eastAsia="华文楷体"/>
                <w:sz w:val="28"/>
                <w:szCs w:val="28"/>
              </w:rPr>
            </w:pPr>
            <w:r>
              <w:rPr>
                <w:rFonts w:hint="eastAsia" w:ascii="华文楷体" w:hAnsi="华文楷体" w:eastAsia="华文楷体"/>
                <w:sz w:val="28"/>
                <w:szCs w:val="28"/>
              </w:rPr>
              <w:t>（1）东北师范大学主页→账户登录数字化大学信息门户→快速通道→研究生管理系统。</w:t>
            </w:r>
          </w:p>
          <w:p>
            <w:pPr>
              <w:spacing w:line="560" w:lineRule="exact"/>
              <w:jc w:val="left"/>
              <w:rPr>
                <w:rFonts w:ascii="华文楷体" w:hAnsi="华文楷体" w:eastAsia="华文楷体"/>
                <w:sz w:val="28"/>
                <w:szCs w:val="28"/>
              </w:rPr>
            </w:pPr>
            <w:r>
              <w:rPr>
                <w:rFonts w:hint="eastAsia" w:ascii="华文楷体" w:hAnsi="华文楷体" w:eastAsia="华文楷体"/>
                <w:sz w:val="28"/>
                <w:szCs w:val="28"/>
              </w:rPr>
              <w:t>（2）研究生院主页→相关链接→研究生管理系统。</w:t>
            </w:r>
          </w:p>
          <w:p>
            <w:pPr>
              <w:spacing w:line="560" w:lineRule="exact"/>
              <w:jc w:val="left"/>
              <w:rPr>
                <w:rFonts w:ascii="华文楷体" w:hAnsi="华文楷体" w:eastAsia="华文楷体"/>
                <w:sz w:val="28"/>
                <w:szCs w:val="28"/>
              </w:rPr>
            </w:pPr>
            <w:r>
              <w:rPr>
                <w:rFonts w:hint="eastAsia" w:ascii="华文楷体" w:hAnsi="华文楷体" w:eastAsia="华文楷体"/>
                <w:sz w:val="28"/>
                <w:szCs w:val="28"/>
              </w:rPr>
              <w:t>（3）直接在地址栏键入研究生管理系统域名：</w:t>
            </w:r>
            <w:r>
              <w:rPr>
                <w:rFonts w:ascii="华文楷体" w:hAnsi="华文楷体" w:eastAsia="华文楷体"/>
                <w:sz w:val="28"/>
                <w:szCs w:val="28"/>
              </w:rPr>
              <w:t>dsyjs.nenu.edu.cn</w:t>
            </w:r>
            <w:r>
              <w:rPr>
                <w:rFonts w:hint="eastAsia" w:ascii="华文楷体" w:hAnsi="华文楷体" w:eastAsia="华文楷体"/>
                <w:sz w:val="28"/>
                <w:szCs w:val="28"/>
              </w:rPr>
              <w:t>。</w:t>
            </w:r>
          </w:p>
          <w:p>
            <w:pPr>
              <w:spacing w:line="560" w:lineRule="exact"/>
              <w:jc w:val="left"/>
              <w:rPr>
                <w:rFonts w:ascii="华文楷体" w:hAnsi="华文楷体" w:eastAsia="华文楷体"/>
                <w:sz w:val="28"/>
                <w:szCs w:val="28"/>
              </w:rPr>
            </w:pPr>
            <w:r>
              <w:rPr>
                <w:rFonts w:hint="eastAsia" w:ascii="华文楷体" w:hAnsi="华文楷体" w:eastAsia="华文楷体"/>
                <w:sz w:val="28"/>
                <w:szCs w:val="28"/>
              </w:rPr>
              <w:t>（</w:t>
            </w:r>
            <w:r>
              <w:rPr>
                <w:rFonts w:hint="eastAsia" w:ascii="华文楷体" w:hAnsi="华文楷体" w:eastAsia="华文楷体"/>
                <w:sz w:val="28"/>
                <w:szCs w:val="28"/>
                <w:lang w:val="en-US" w:eastAsia="zh-CN"/>
              </w:rPr>
              <w:t>4</w:t>
            </w:r>
            <w:r>
              <w:rPr>
                <w:rFonts w:hint="eastAsia" w:ascii="华文楷体" w:hAnsi="华文楷体" w:eastAsia="华文楷体"/>
                <w:sz w:val="28"/>
                <w:szCs w:val="28"/>
              </w:rPr>
              <w:t>）登录规则详见通知。</w:t>
            </w:r>
          </w:p>
          <w:p>
            <w:pPr>
              <w:ind w:firstLine="420" w:firstLineChars="200"/>
              <w:jc w:val="left"/>
            </w:pPr>
            <w:bookmarkStart w:id="0" w:name="_GoBack"/>
            <w:bookmarkEnd w:id="0"/>
          </w:p>
        </w:tc>
      </w:tr>
      <w:tr>
        <w:tblPrEx>
          <w:tblBorders>
            <w:top w:val="single" w:color="FFFFFF" w:themeColor="background1" w:sz="4" w:space="0"/>
            <w:left w:val="single" w:color="FFFFFF" w:themeColor="background1" w:sz="4" w:space="0"/>
            <w:bottom w:val="single" w:color="FFFFFF" w:themeColor="background1" w:sz="4" w:space="0"/>
            <w:right w:val="single" w:color="FFFFFF" w:themeColor="background1" w:sz="4" w:space="0"/>
            <w:insideH w:val="single" w:color="FFFFFF" w:themeColor="background1" w:sz="4" w:space="0"/>
            <w:insideV w:val="single" w:color="FFFFFF" w:themeColor="background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" w:hRule="atLeast"/>
          <w:jc w:val="center"/>
        </w:trPr>
        <w:tc>
          <w:tcPr>
            <w:tcW w:w="5942" w:type="dxa"/>
          </w:tcPr>
          <w:p>
            <w:r>
              <w:drawing>
                <wp:inline distT="0" distB="0" distL="0" distR="0">
                  <wp:extent cx="3591560" cy="2782570"/>
                  <wp:effectExtent l="0" t="0" r="889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1546" cy="2782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/>
          <w:p/>
        </w:tc>
        <w:tc>
          <w:tcPr>
            <w:tcW w:w="4600" w:type="dxa"/>
          </w:tcPr>
          <w:p>
            <w:pPr>
              <w:rPr>
                <w:rFonts w:ascii="华文楷体" w:hAnsi="华文楷体" w:eastAsia="华文楷体"/>
                <w:sz w:val="28"/>
                <w:szCs w:val="28"/>
              </w:rPr>
            </w:pPr>
          </w:p>
          <w:p>
            <w:pPr>
              <w:rPr>
                <w:rFonts w:ascii="华文楷体" w:hAnsi="华文楷体" w:eastAsia="华文楷体"/>
                <w:sz w:val="28"/>
                <w:szCs w:val="28"/>
              </w:rPr>
            </w:pPr>
          </w:p>
          <w:p>
            <w:r>
              <w:rPr>
                <w:rFonts w:hint="eastAsia" w:ascii="华文楷体" w:hAnsi="华文楷体" w:eastAsia="华文楷体"/>
                <w:sz w:val="28"/>
                <w:szCs w:val="28"/>
              </w:rPr>
              <w:t>2、系统登录成功后，点击【毕业申请】，</w:t>
            </w:r>
          </w:p>
        </w:tc>
      </w:tr>
      <w:tr>
        <w:tblPrEx>
          <w:tblBorders>
            <w:top w:val="single" w:color="FFFFFF" w:themeColor="background1" w:sz="4" w:space="0"/>
            <w:left w:val="single" w:color="FFFFFF" w:themeColor="background1" w:sz="4" w:space="0"/>
            <w:bottom w:val="single" w:color="FFFFFF" w:themeColor="background1" w:sz="4" w:space="0"/>
            <w:right w:val="single" w:color="FFFFFF" w:themeColor="background1" w:sz="4" w:space="0"/>
            <w:insideH w:val="single" w:color="FFFFFF" w:themeColor="background1" w:sz="4" w:space="0"/>
            <w:insideV w:val="single" w:color="FFFFFF" w:themeColor="background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" w:hRule="atLeast"/>
          <w:jc w:val="center"/>
        </w:trPr>
        <w:tc>
          <w:tcPr>
            <w:tcW w:w="5942" w:type="dxa"/>
          </w:tcPr>
          <w:p>
            <w:r>
              <w:drawing>
                <wp:inline distT="0" distB="0" distL="0" distR="0">
                  <wp:extent cx="3587750" cy="3164205"/>
                  <wp:effectExtent l="0" t="0" r="0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3782" cy="31697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/>
          <w:p/>
        </w:tc>
        <w:tc>
          <w:tcPr>
            <w:tcW w:w="4600" w:type="dxa"/>
          </w:tcPr>
          <w:p>
            <w:pPr>
              <w:rPr>
                <w:rFonts w:ascii="华文楷体" w:hAnsi="华文楷体" w:eastAsia="华文楷体"/>
                <w:sz w:val="28"/>
                <w:szCs w:val="28"/>
              </w:rPr>
            </w:pPr>
          </w:p>
          <w:p>
            <w:r>
              <w:rPr>
                <w:rFonts w:hint="eastAsia" w:ascii="华文楷体" w:hAnsi="华文楷体" w:eastAsia="华文楷体"/>
                <w:sz w:val="28"/>
                <w:szCs w:val="28"/>
              </w:rPr>
              <w:t>3、成功进入毕业申请模块后，点击毕业申请栏目下的【毕业申请】，弹出申请信息列表，点击信息列表上方的【申请】，弹出个人成绩信息。选择申请类型，默认的申请类型即是“毕业”，无需修改，正常提交。</w:t>
            </w:r>
            <w:r>
              <w:t xml:space="preserve"> </w:t>
            </w:r>
          </w:p>
        </w:tc>
      </w:tr>
      <w:tr>
        <w:tblPrEx>
          <w:tblBorders>
            <w:top w:val="single" w:color="FFFFFF" w:themeColor="background1" w:sz="4" w:space="0"/>
            <w:left w:val="single" w:color="FFFFFF" w:themeColor="background1" w:sz="4" w:space="0"/>
            <w:bottom w:val="single" w:color="FFFFFF" w:themeColor="background1" w:sz="4" w:space="0"/>
            <w:right w:val="single" w:color="FFFFFF" w:themeColor="background1" w:sz="4" w:space="0"/>
            <w:insideH w:val="single" w:color="FFFFFF" w:themeColor="background1" w:sz="4" w:space="0"/>
            <w:insideV w:val="single" w:color="FFFFFF" w:themeColor="background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" w:hRule="atLeast"/>
          <w:jc w:val="center"/>
        </w:trPr>
        <w:tc>
          <w:tcPr>
            <w:tcW w:w="5942" w:type="dxa"/>
          </w:tcPr>
          <w:p/>
        </w:tc>
        <w:tc>
          <w:tcPr>
            <w:tcW w:w="4600" w:type="dxa"/>
          </w:tcPr>
          <w:p>
            <w:pPr>
              <w:rPr>
                <w:rFonts w:ascii="华文楷体" w:hAnsi="华文楷体" w:eastAsia="华文楷体"/>
                <w:sz w:val="28"/>
                <w:szCs w:val="28"/>
              </w:rPr>
            </w:pPr>
          </w:p>
          <w:p>
            <w:r>
              <w:rPr>
                <w:rFonts w:hint="eastAsia" w:ascii="华文楷体" w:hAnsi="华文楷体" w:eastAsia="华文楷体"/>
                <w:sz w:val="28"/>
                <w:szCs w:val="28"/>
              </w:rPr>
              <w:t>4、提交申请成功后，请在浏览器菜单中找到【internet选项】，按照《系统打印设置流程》（见下面的附件）对【internet选项】进行设置。设置完毕后点击申请页面下的【打印】按钮，下载《东北师范大学硕士、博士研究生学位申请书》，该表中已有的内容不用改动，补全表中其它内容即可。</w:t>
            </w:r>
          </w:p>
        </w:tc>
      </w:tr>
    </w:tbl>
    <w:p>
      <w:pPr>
        <w:rPr>
          <w:rFonts w:ascii="黑体" w:hAnsi="黑体" w:eastAsia="黑体"/>
          <w:b/>
          <w:sz w:val="32"/>
        </w:rPr>
      </w:pPr>
      <w:r>
        <w:rPr>
          <w:rFonts w:hint="eastAsia" w:ascii="黑体" w:hAnsi="黑体" w:eastAsia="黑体"/>
          <w:b/>
          <w:sz w:val="32"/>
        </w:rPr>
        <w:t>附：系统打印设置流程</w:t>
      </w:r>
    </w:p>
    <w:p>
      <w:pPr>
        <w:rPr>
          <w:rFonts w:hint="eastAsia"/>
        </w:rPr>
      </w:pPr>
    </w:p>
    <w:p>
      <w:pPr>
        <w:jc w:val="center"/>
        <w:rPr>
          <w:rFonts w:ascii="黑体" w:hAnsi="黑体" w:eastAsia="黑体"/>
          <w:b/>
          <w:sz w:val="32"/>
        </w:rPr>
      </w:pPr>
      <w:r>
        <w:rPr>
          <w:rFonts w:hint="eastAsia" w:ascii="黑体" w:hAnsi="黑体" w:eastAsia="黑体"/>
          <w:b/>
          <w:sz w:val="32"/>
        </w:rPr>
        <w:t>系统打印设置流程</w:t>
      </w:r>
    </w:p>
    <w:p>
      <w:pPr>
        <w:jc w:val="center"/>
      </w:pPr>
    </w:p>
    <w:p>
      <w:pPr>
        <w:jc w:val="left"/>
      </w:pPr>
      <w:r>
        <w:rPr>
          <w:rFonts w:hint="eastAsia"/>
        </w:rPr>
        <w:t>1、找到浏览器的【设置】-【Internet选项】</w:t>
      </w:r>
    </w:p>
    <w:p>
      <w:pPr>
        <w:jc w:val="left"/>
      </w:pPr>
      <w:r>
        <w:drawing>
          <wp:inline distT="0" distB="0" distL="0" distR="0">
            <wp:extent cx="5274310" cy="232918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9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  <w:r>
        <w:rPr>
          <w:rFonts w:hint="eastAsia"/>
        </w:rPr>
        <w:t>2、依次点击【安全】-【受信任的站点】-【站点】</w:t>
      </w:r>
    </w:p>
    <w:p>
      <w:pPr>
        <w:jc w:val="left"/>
      </w:pPr>
      <w:r>
        <w:drawing>
          <wp:inline distT="0" distB="0" distL="0" distR="0">
            <wp:extent cx="5274310" cy="223583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6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  <w:r>
        <w:rPr>
          <w:rFonts w:hint="eastAsia"/>
        </w:rPr>
        <w:t>3、将研究生管理系统网址添加入受信任站点，并点击【关闭】</w:t>
      </w:r>
    </w:p>
    <w:p>
      <w:pPr>
        <w:jc w:val="left"/>
      </w:pPr>
      <w:r>
        <w:drawing>
          <wp:inline distT="0" distB="0" distL="0" distR="0">
            <wp:extent cx="5274310" cy="232918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9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  <w:r>
        <w:rPr>
          <w:rFonts w:hint="eastAsia"/>
        </w:rPr>
        <w:t>4、再次点击【受信任的站点】-【自定义级别】，依次检查前三个大项：NET Framework、NET Framework相关组件、ActiveX控件和插件的前三个小项，调整为【启用】，最后点击【确定】</w:t>
      </w:r>
    </w:p>
    <w:p>
      <w:pPr>
        <w:jc w:val="left"/>
      </w:pPr>
      <w:r>
        <w:drawing>
          <wp:inline distT="0" distB="0" distL="0" distR="0">
            <wp:extent cx="5274310" cy="2452370"/>
            <wp:effectExtent l="0" t="0" r="254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2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  <w:r>
        <w:rPr>
          <w:rFonts w:hint="eastAsia"/>
        </w:rPr>
        <w:t>5、点击【本地Intranet】-【自定义级别】，按照与上述同样的方法调整【启用】，点击【确定】</w:t>
      </w:r>
    </w:p>
    <w:p>
      <w:pPr>
        <w:jc w:val="left"/>
      </w:pPr>
      <w:r>
        <w:drawing>
          <wp:inline distT="0" distB="0" distL="0" distR="0">
            <wp:extent cx="5274310" cy="2357755"/>
            <wp:effectExtent l="0" t="0" r="2540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8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  <w:r>
        <w:rPr>
          <w:rFonts w:hint="eastAsia"/>
        </w:rPr>
        <w:t>6、最后点击【应用】-【确定】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48AF"/>
    <w:rsid w:val="00237C9F"/>
    <w:rsid w:val="00245EFB"/>
    <w:rsid w:val="00293E1D"/>
    <w:rsid w:val="002D259C"/>
    <w:rsid w:val="003E48A9"/>
    <w:rsid w:val="00486081"/>
    <w:rsid w:val="004E1FD3"/>
    <w:rsid w:val="004E47C3"/>
    <w:rsid w:val="00B048AF"/>
    <w:rsid w:val="00B225CE"/>
    <w:rsid w:val="00D1377A"/>
    <w:rsid w:val="00DE358C"/>
    <w:rsid w:val="00E96B91"/>
    <w:rsid w:val="00FB6CDD"/>
    <w:rsid w:val="793946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unhideWhenUsed/>
    <w:qFormat/>
    <w:uiPriority w:val="99"/>
    <w:rPr>
      <w:rFonts w:asciiTheme="minorHAnsi" w:hAnsiTheme="minorHAnsi" w:eastAsiaTheme="minorEastAsia" w:cstheme="minorBidi"/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批注框文本 Char"/>
    <w:basedOn w:val="5"/>
    <w:link w:val="2"/>
    <w:semiHidden/>
    <w:qFormat/>
    <w:uiPriority w:val="99"/>
    <w:rPr>
      <w:sz w:val="18"/>
      <w:szCs w:val="18"/>
    </w:rPr>
  </w:style>
  <w:style w:type="character" w:customStyle="1" w:styleId="9">
    <w:name w:val="页眉 Char"/>
    <w:basedOn w:val="5"/>
    <w:link w:val="4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0">
    <w:name w:val="页脚 Char"/>
    <w:basedOn w:val="5"/>
    <w:link w:val="3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111</Words>
  <Characters>638</Characters>
  <Lines>5</Lines>
  <Paragraphs>1</Paragraphs>
  <TotalTime>34</TotalTime>
  <ScaleCrop>false</ScaleCrop>
  <LinksUpToDate>false</LinksUpToDate>
  <CharactersWithSpaces>748</CharactersWithSpaces>
  <Application>WPS Office_10.1.0.7400_F1E327BC-269C-435d-A152-05C5408002CA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2015-09-22T00:25:00Z</dcterms:created>
  <dc:creator>Microsoft</dc:creator>
  <cp:lastModifiedBy>沙竹子</cp:lastModifiedBy>
  <dcterms:modified xsi:type="dcterms:W3CDTF">2018-07-05T04:46:36Z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